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EF0C8" w14:textId="39911C51" w:rsidR="006C0777" w:rsidRPr="00C939AA" w:rsidRDefault="006C0777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C939AA">
        <w:rPr>
          <w:rFonts w:asciiTheme="majorBidi" w:hAnsiTheme="majorBidi" w:cstheme="majorBidi"/>
          <w:b/>
          <w:bCs/>
          <w:sz w:val="24"/>
        </w:rPr>
        <w:t>Evaluation of Preoperative Viral Screening</w:t>
      </w:r>
      <w:r w:rsidR="00C939AA"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b/>
          <w:bCs/>
          <w:sz w:val="24"/>
        </w:rPr>
        <w:t xml:space="preserve">in a sample of Iraqi patients at </w:t>
      </w:r>
      <w:proofErr w:type="spellStart"/>
      <w:r w:rsidRPr="00C939AA">
        <w:rPr>
          <w:rFonts w:asciiTheme="majorBidi" w:hAnsiTheme="majorBidi" w:cstheme="majorBidi"/>
          <w:b/>
          <w:bCs/>
          <w:sz w:val="24"/>
        </w:rPr>
        <w:t>Alkarama</w:t>
      </w:r>
      <w:proofErr w:type="spellEnd"/>
    </w:p>
    <w:p w14:paraId="7E9213F1" w14:textId="7587A9EF" w:rsidR="00934DE9" w:rsidRDefault="006C0777" w:rsidP="00CC72F2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  <w:r w:rsidRPr="00C939AA">
        <w:rPr>
          <w:rFonts w:asciiTheme="majorBidi" w:hAnsiTheme="majorBidi" w:cstheme="majorBidi"/>
          <w:b/>
          <w:bCs/>
          <w:sz w:val="24"/>
        </w:rPr>
        <w:t>Teaching Hospital</w:t>
      </w:r>
    </w:p>
    <w:p w14:paraId="708F2ADC" w14:textId="3F6C2FA2" w:rsidR="003E1F99" w:rsidRDefault="003E1F99" w:rsidP="00CC72F2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</w:p>
    <w:p w14:paraId="524A502E" w14:textId="437582AA" w:rsidR="006C0777" w:rsidRDefault="003E1F99" w:rsidP="00052040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 xml:space="preserve">Raid </w:t>
      </w:r>
      <w:r w:rsidR="00052040">
        <w:rPr>
          <w:rFonts w:asciiTheme="majorBidi" w:hAnsiTheme="majorBidi" w:cstheme="majorBidi"/>
          <w:b/>
          <w:bCs/>
          <w:sz w:val="24"/>
        </w:rPr>
        <w:t>D. Hashim</w:t>
      </w:r>
    </w:p>
    <w:p w14:paraId="0E227A1E" w14:textId="1F046BF6" w:rsidR="00052040" w:rsidRPr="00C939AA" w:rsidRDefault="00052040" w:rsidP="00052040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b/>
          <w:bCs/>
          <w:sz w:val="24"/>
        </w:rPr>
        <w:t>AlRaheed</w:t>
      </w:r>
      <w:proofErr w:type="spellEnd"/>
      <w:r>
        <w:rPr>
          <w:rFonts w:asciiTheme="majorBidi" w:hAnsiTheme="majorBidi" w:cstheme="majorBidi"/>
          <w:b/>
          <w:bCs/>
          <w:sz w:val="24"/>
        </w:rPr>
        <w:t xml:space="preserve"> University College</w:t>
      </w:r>
      <w:r w:rsidR="00016AF1">
        <w:rPr>
          <w:rFonts w:asciiTheme="majorBidi" w:hAnsiTheme="majorBidi" w:cstheme="majorBidi"/>
          <w:b/>
          <w:bCs/>
          <w:sz w:val="24"/>
        </w:rPr>
        <w:t>, Department of Dentistry</w:t>
      </w:r>
    </w:p>
    <w:p w14:paraId="4B084301" w14:textId="77777777" w:rsidR="00016AF1" w:rsidRDefault="00016AF1" w:rsidP="00CC72F2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</w:p>
    <w:p w14:paraId="5B0ADB52" w14:textId="77777777" w:rsidR="00016AF1" w:rsidRDefault="00016AF1" w:rsidP="00CC72F2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</w:p>
    <w:p w14:paraId="42541406" w14:textId="16FF4BC7" w:rsidR="00C939AA" w:rsidRDefault="00C939AA" w:rsidP="00CC72F2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  <w:r w:rsidRPr="00C939AA">
        <w:rPr>
          <w:rFonts w:asciiTheme="majorBidi" w:hAnsiTheme="majorBidi" w:cstheme="majorBidi"/>
          <w:b/>
          <w:bCs/>
          <w:sz w:val="24"/>
        </w:rPr>
        <w:t>Abstract</w:t>
      </w:r>
    </w:p>
    <w:p w14:paraId="134FE50C" w14:textId="797C6047" w:rsidR="00C939AA" w:rsidRPr="00F10CB3" w:rsidRDefault="00C939AA" w:rsidP="00CC72F2">
      <w:pPr>
        <w:spacing w:after="0"/>
        <w:jc w:val="both"/>
        <w:rPr>
          <w:rFonts w:asciiTheme="majorBidi" w:hAnsiTheme="majorBidi" w:cstheme="majorBidi"/>
          <w:b/>
          <w:bCs/>
          <w:sz w:val="24"/>
        </w:rPr>
      </w:pPr>
      <w:r w:rsidRPr="00C939AA">
        <w:rPr>
          <w:rFonts w:asciiTheme="majorBidi" w:hAnsiTheme="majorBidi" w:cstheme="majorBidi"/>
          <w:sz w:val="24"/>
        </w:rPr>
        <w:t>During preparation for elective operations, national</w:t>
      </w:r>
      <w:r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guidelines in many countries recommend testing for</w:t>
      </w:r>
      <w:r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human immunodeficiency virus (HIV), hepatitis B</w:t>
      </w:r>
      <w:r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virus (HBV), and hepatitis C virus (HCV) to decrease</w:t>
      </w:r>
      <w:r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the risk of transmission of the virus through a needle</w:t>
      </w:r>
      <w:r w:rsidR="00F10CB3"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stick or cutting injury. The number of new and</w:t>
      </w:r>
      <w:r w:rsidR="00F10CB3"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unknown diagnoses of viral infections that can be</w:t>
      </w:r>
      <w:r w:rsidR="00F10CB3"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diagnosed by routine screening has not yet been</w:t>
      </w:r>
      <w:r w:rsidR="00F10CB3">
        <w:rPr>
          <w:rFonts w:asciiTheme="majorBidi" w:hAnsiTheme="majorBidi" w:cstheme="majorBidi"/>
          <w:b/>
          <w:bCs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evaluated.</w:t>
      </w:r>
    </w:p>
    <w:p w14:paraId="7B12C9DC" w14:textId="338686C5" w:rsidR="00C939AA" w:rsidRPr="00F10CB3" w:rsidRDefault="00C939AA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F10CB3">
        <w:rPr>
          <w:rFonts w:asciiTheme="majorBidi" w:hAnsiTheme="majorBidi" w:cstheme="majorBidi"/>
          <w:b/>
          <w:bCs/>
          <w:sz w:val="24"/>
        </w:rPr>
        <w:t>Objective</w:t>
      </w:r>
      <w:r w:rsidR="00F10CB3">
        <w:rPr>
          <w:rFonts w:asciiTheme="majorBidi" w:hAnsiTheme="majorBidi" w:cstheme="majorBidi"/>
          <w:b/>
          <w:bCs/>
          <w:sz w:val="24"/>
        </w:rPr>
        <w:t>s</w:t>
      </w:r>
    </w:p>
    <w:p w14:paraId="5B55C4A7" w14:textId="2BB8610C" w:rsidR="00C939AA" w:rsidRPr="00C939AA" w:rsidRDefault="00C939AA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C939AA">
        <w:rPr>
          <w:rFonts w:asciiTheme="majorBidi" w:hAnsiTheme="majorBidi" w:cstheme="majorBidi"/>
          <w:sz w:val="24"/>
        </w:rPr>
        <w:t>To find out the prevalence of unaware hepatitis B and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C amongst patients screened for HBV and HCV as a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 xml:space="preserve">part of preoperative screening at </w:t>
      </w:r>
      <w:proofErr w:type="spellStart"/>
      <w:r w:rsidRPr="00C939AA">
        <w:rPr>
          <w:rFonts w:asciiTheme="majorBidi" w:hAnsiTheme="majorBidi" w:cstheme="majorBidi"/>
          <w:sz w:val="24"/>
        </w:rPr>
        <w:t>Alkarama</w:t>
      </w:r>
      <w:proofErr w:type="spellEnd"/>
      <w:r w:rsidRPr="00C939AA">
        <w:rPr>
          <w:rFonts w:asciiTheme="majorBidi" w:hAnsiTheme="majorBidi" w:cstheme="majorBidi"/>
          <w:sz w:val="24"/>
        </w:rPr>
        <w:t xml:space="preserve"> Teaching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Hospital.</w:t>
      </w:r>
    </w:p>
    <w:p w14:paraId="04661DF4" w14:textId="77777777" w:rsidR="00C939AA" w:rsidRPr="00F10CB3" w:rsidRDefault="00C939AA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F10CB3">
        <w:rPr>
          <w:rFonts w:asciiTheme="majorBidi" w:hAnsiTheme="majorBidi" w:cstheme="majorBidi"/>
          <w:b/>
          <w:bCs/>
          <w:sz w:val="24"/>
        </w:rPr>
        <w:t>Methods</w:t>
      </w:r>
    </w:p>
    <w:p w14:paraId="2EF8A162" w14:textId="3D7F3DFA" w:rsidR="00F10CB3" w:rsidRPr="00F10CB3" w:rsidRDefault="00C939AA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C939AA">
        <w:rPr>
          <w:rFonts w:asciiTheme="majorBidi" w:hAnsiTheme="majorBidi" w:cstheme="majorBidi"/>
          <w:sz w:val="24"/>
        </w:rPr>
        <w:t xml:space="preserve">This retrospective study was performed at </w:t>
      </w:r>
      <w:proofErr w:type="spellStart"/>
      <w:r w:rsidRPr="00C939AA">
        <w:rPr>
          <w:rFonts w:asciiTheme="majorBidi" w:hAnsiTheme="majorBidi" w:cstheme="majorBidi"/>
          <w:sz w:val="24"/>
        </w:rPr>
        <w:t>Alkarama</w:t>
      </w:r>
      <w:proofErr w:type="spellEnd"/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teaching hospital. Over 31 months (between January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2013 and July 2015), the results of preoperative viral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screening for hepatitis B and were reviewed. This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study includes the results of 14003 patients screened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 xml:space="preserve">for both </w:t>
      </w:r>
      <w:proofErr w:type="spellStart"/>
      <w:r w:rsidRPr="00C939AA">
        <w:rPr>
          <w:rFonts w:asciiTheme="majorBidi" w:hAnsiTheme="majorBidi" w:cstheme="majorBidi"/>
          <w:sz w:val="24"/>
        </w:rPr>
        <w:t>Hbs</w:t>
      </w:r>
      <w:proofErr w:type="spellEnd"/>
      <w:r w:rsidRPr="00C939AA">
        <w:rPr>
          <w:rFonts w:asciiTheme="majorBidi" w:hAnsiTheme="majorBidi" w:cstheme="majorBidi"/>
          <w:sz w:val="24"/>
        </w:rPr>
        <w:t xml:space="preserve"> Ag and IgM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anti</w:t>
      </w:r>
      <w:r w:rsidR="00350787">
        <w:rPr>
          <w:rFonts w:asciiTheme="majorBidi" w:hAnsiTheme="majorBidi" w:cstheme="majorBidi"/>
          <w:sz w:val="24"/>
        </w:rPr>
        <w:t>-</w:t>
      </w:r>
      <w:r w:rsidRPr="00C939AA">
        <w:rPr>
          <w:rFonts w:asciiTheme="majorBidi" w:hAnsiTheme="majorBidi" w:cstheme="majorBidi"/>
          <w:sz w:val="24"/>
        </w:rPr>
        <w:t>HCV Ab. These tests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Pr="00C939AA">
        <w:rPr>
          <w:rFonts w:asciiTheme="majorBidi" w:hAnsiTheme="majorBidi" w:cstheme="majorBidi"/>
          <w:sz w:val="24"/>
        </w:rPr>
        <w:t>were initially measured using ELISA technique;</w:t>
      </w:r>
      <w:r w:rsidR="00F10CB3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positive results were confirmed twice, the first at the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same virology unit in the hospital using ELFA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technique, and the second was performed at the central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public health laboratory by western blot technique.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The percentage of positive results were calculated and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compared with similar results obtained from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="00F10CB3" w:rsidRPr="00F10CB3">
        <w:rPr>
          <w:rFonts w:asciiTheme="majorBidi" w:hAnsiTheme="majorBidi" w:cstheme="majorBidi"/>
          <w:sz w:val="24"/>
        </w:rPr>
        <w:t>comparable studies in Iraq and other countries.</w:t>
      </w:r>
    </w:p>
    <w:p w14:paraId="1353F8E2" w14:textId="77777777" w:rsidR="00F10CB3" w:rsidRPr="00CC72F2" w:rsidRDefault="00F10CB3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CC72F2">
        <w:rPr>
          <w:rFonts w:asciiTheme="majorBidi" w:hAnsiTheme="majorBidi" w:cstheme="majorBidi"/>
          <w:b/>
          <w:bCs/>
          <w:sz w:val="24"/>
        </w:rPr>
        <w:t>Results</w:t>
      </w:r>
    </w:p>
    <w:p w14:paraId="1E9D5642" w14:textId="55796E92" w:rsidR="00F10CB3" w:rsidRPr="00F10CB3" w:rsidRDefault="00F10CB3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F10CB3">
        <w:rPr>
          <w:rFonts w:asciiTheme="majorBidi" w:hAnsiTheme="majorBidi" w:cstheme="majorBidi"/>
          <w:sz w:val="24"/>
        </w:rPr>
        <w:t>Of the total 14003 screened patients, only 59 patients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(0.4%) had confirmed HBV infection. Surprisingly,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this number was distributed evenly over the duration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of the study.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Similarly, only 40 patients (0.2%) of the total 14003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screened patients were confirmed to have HCV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 xml:space="preserve">infection with </w:t>
      </w:r>
      <w:r w:rsidR="00350787">
        <w:rPr>
          <w:rFonts w:asciiTheme="majorBidi" w:hAnsiTheme="majorBidi" w:cstheme="majorBidi"/>
          <w:sz w:val="24"/>
        </w:rPr>
        <w:t xml:space="preserve">a </w:t>
      </w:r>
      <w:r w:rsidRPr="00F10CB3">
        <w:rPr>
          <w:rFonts w:asciiTheme="majorBidi" w:hAnsiTheme="majorBidi" w:cstheme="majorBidi"/>
          <w:sz w:val="24"/>
        </w:rPr>
        <w:t>significantly higher number of positive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cases in the first months of the study. In general, the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total number of patients with either HBV or HCV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infection was 99; this number represented 0.7% of the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screened patients.</w:t>
      </w:r>
    </w:p>
    <w:p w14:paraId="1502F53A" w14:textId="77777777" w:rsidR="00F10CB3" w:rsidRPr="00CC72F2" w:rsidRDefault="00F10CB3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CC72F2">
        <w:rPr>
          <w:rFonts w:asciiTheme="majorBidi" w:hAnsiTheme="majorBidi" w:cstheme="majorBidi"/>
          <w:b/>
          <w:bCs/>
          <w:sz w:val="24"/>
        </w:rPr>
        <w:t>Conclusion</w:t>
      </w:r>
    </w:p>
    <w:p w14:paraId="2E6AF2DB" w14:textId="2E93AD35" w:rsidR="00F10CB3" w:rsidRPr="00F10CB3" w:rsidRDefault="00F10CB3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F10CB3">
        <w:rPr>
          <w:rFonts w:asciiTheme="majorBidi" w:hAnsiTheme="majorBidi" w:cstheme="majorBidi"/>
          <w:sz w:val="24"/>
        </w:rPr>
        <w:t xml:space="preserve">The current study suggests </w:t>
      </w:r>
      <w:r w:rsidR="00350787">
        <w:rPr>
          <w:rFonts w:asciiTheme="majorBidi" w:hAnsiTheme="majorBidi" w:cstheme="majorBidi"/>
          <w:sz w:val="24"/>
        </w:rPr>
        <w:t xml:space="preserve">a </w:t>
      </w:r>
      <w:r w:rsidRPr="00F10CB3">
        <w:rPr>
          <w:rFonts w:asciiTheme="majorBidi" w:hAnsiTheme="majorBidi" w:cstheme="majorBidi"/>
          <w:sz w:val="24"/>
        </w:rPr>
        <w:t>low prevalence of both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HBs Ag and anti HCV Ab amongst the studied group.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Unexpectedly, the prevalence of HBs Ag was higher</w:t>
      </w:r>
      <w:r w:rsidR="00CC72F2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than HCV Ab in the studied group.</w:t>
      </w:r>
    </w:p>
    <w:p w14:paraId="70C52FFB" w14:textId="77777777" w:rsidR="00D61BC8" w:rsidRDefault="00D61BC8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14:paraId="57F391BA" w14:textId="72689FBF" w:rsidR="00F10CB3" w:rsidRPr="00D61BC8" w:rsidRDefault="00F10CB3" w:rsidP="00CC72F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</w:rPr>
      </w:pPr>
      <w:r w:rsidRPr="00D61BC8">
        <w:rPr>
          <w:rFonts w:asciiTheme="majorBidi" w:hAnsiTheme="majorBidi" w:cstheme="majorBidi"/>
          <w:b/>
          <w:bCs/>
          <w:sz w:val="24"/>
        </w:rPr>
        <w:t>Keywords:</w:t>
      </w:r>
    </w:p>
    <w:p w14:paraId="51028705" w14:textId="32C545E5" w:rsidR="00C939AA" w:rsidRPr="00C939AA" w:rsidRDefault="00F10CB3" w:rsidP="00D61BC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</w:rPr>
      </w:pPr>
      <w:r w:rsidRPr="00F10CB3">
        <w:rPr>
          <w:rFonts w:asciiTheme="majorBidi" w:hAnsiTheme="majorBidi" w:cstheme="majorBidi"/>
          <w:sz w:val="24"/>
        </w:rPr>
        <w:t>preoperative viral screening, HBV, HCV, ELFA</w:t>
      </w:r>
      <w:r w:rsidR="00D61BC8">
        <w:rPr>
          <w:rFonts w:asciiTheme="majorBidi" w:hAnsiTheme="majorBidi" w:cstheme="majorBidi"/>
          <w:sz w:val="24"/>
        </w:rPr>
        <w:t>,</w:t>
      </w:r>
      <w:r w:rsidR="00350787">
        <w:rPr>
          <w:rFonts w:asciiTheme="majorBidi" w:hAnsiTheme="majorBidi" w:cstheme="majorBidi"/>
          <w:sz w:val="24"/>
        </w:rPr>
        <w:t xml:space="preserve"> </w:t>
      </w:r>
      <w:r w:rsidRPr="00F10CB3">
        <w:rPr>
          <w:rFonts w:asciiTheme="majorBidi" w:hAnsiTheme="majorBidi" w:cstheme="majorBidi"/>
          <w:sz w:val="24"/>
        </w:rPr>
        <w:t>technique, western blot technique.</w:t>
      </w:r>
    </w:p>
    <w:sectPr w:rsidR="00C939AA" w:rsidRPr="00C9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wMTe2sDQ1t7QwMTVS0lEKTi0uzszPAykwrAUANB36bSwAAAA="/>
  </w:docVars>
  <w:rsids>
    <w:rsidRoot w:val="006C0777"/>
    <w:rsid w:val="00016AF1"/>
    <w:rsid w:val="00052040"/>
    <w:rsid w:val="00350787"/>
    <w:rsid w:val="003E1F99"/>
    <w:rsid w:val="006C0777"/>
    <w:rsid w:val="00934DE9"/>
    <w:rsid w:val="00C939AA"/>
    <w:rsid w:val="00CC72F2"/>
    <w:rsid w:val="00D61BC8"/>
    <w:rsid w:val="00EB26CC"/>
    <w:rsid w:val="00F1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1D2B"/>
  <w15:chartTrackingRefBased/>
  <w15:docId w15:val="{890ACB37-5106-4763-81D0-6E7BAE9B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vsd</dc:creator>
  <cp:keywords/>
  <dc:description/>
  <cp:lastModifiedBy>asd vsd</cp:lastModifiedBy>
  <cp:revision>3</cp:revision>
  <dcterms:created xsi:type="dcterms:W3CDTF">2019-09-27T08:43:00Z</dcterms:created>
  <dcterms:modified xsi:type="dcterms:W3CDTF">2019-09-27T09:11:00Z</dcterms:modified>
</cp:coreProperties>
</file>